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TheFormTool, LLC Launches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Intelligent Forms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Business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Seattle, (Date)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TheFormTool, LLC is pleased to announce the launch of a series of libraries of intelligent forms for use by lawyers and other professionals. The initial suite of intelligent forms, available today, is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Elder Law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Preparing for Disabilities.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It consists of 26 forms, 57 pages and 13,000 words, with more than 1,300 fully automated variables. The forms are compatible with TheFormTool PRO and Doxser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á® </w:t>
      </w:r>
      <w:r>
        <w:rPr>
          <w:rFonts w:ascii="Times New Roman" w:hAnsi="Times New Roman"/>
          <w:sz w:val="24"/>
          <w:szCs w:val="24"/>
          <w:rtl w:val="0"/>
          <w:lang w:val="en-US"/>
        </w:rPr>
        <w:t>versions 3.0 and newer and with all versions of Word for Windows since 2007.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second suite in the series is nearly ten times as large.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Business Law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Company Formation and Operations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will be available May 15. The company plans to release 1-2 subject-specific suites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for lawyers and other professionals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each month.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Our customers already report saving an average of more than 70% of the time they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d otherwise spend on repetitive documents, while eliminating nearly all of the errors,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commented Bob Christensen, Director of Customer Service for the firm.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Our goal w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ith these libraries of intelligent forms </w:t>
      </w:r>
      <w:r>
        <w:rPr>
          <w:rFonts w:ascii="Times New Roman" w:hAnsi="Times New Roman"/>
          <w:sz w:val="24"/>
          <w:szCs w:val="24"/>
          <w:rtl w:val="0"/>
          <w:lang w:val="en-US"/>
        </w:rPr>
        <w:t>is to help them achieve savings above 90%, thereby improving office productivity by a factor of ten over legacy approaches.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By distributing high-value intelligent forms that are completely editable and customizable by the customer, our goal is to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seed and spread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best practices, helping entire professions improve both service delivery and economics.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At the beginning of the project, the company set five goals to be accomplished prior to opening the new line of business: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2"/>
          <w:numId w:val="2"/>
        </w:numPr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measurable benefit-to-cost ratio for customers has to be at least 10-to-1 the first year, with a five year benefit of at least 50-to-1.</w:t>
      </w:r>
    </w:p>
    <w:p>
      <w:pPr>
        <w:pStyle w:val="Body"/>
        <w:ind w:left="1571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2"/>
          <w:numId w:val="2"/>
        </w:numPr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learning curve needs to be zero, with the startup time less than one minute for an experienced customer and less than ten minutes for a completely new user of the firm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software.</w:t>
      </w:r>
    </w:p>
    <w:p>
      <w:pPr>
        <w:pStyle w:val="Body"/>
        <w:ind w:left="1571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2"/>
          <w:numId w:val="2"/>
        </w:numPr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forms have to be completely editable and customizable.</w:t>
      </w:r>
    </w:p>
    <w:p>
      <w:pPr>
        <w:pStyle w:val="Body"/>
        <w:ind w:left="1571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2"/>
          <w:numId w:val="2"/>
        </w:numPr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content of the forms must be sophisticated and expertly crafted.</w:t>
      </w:r>
    </w:p>
    <w:p>
      <w:pPr>
        <w:pStyle w:val="Body"/>
        <w:ind w:left="1571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2"/>
          <w:numId w:val="2"/>
        </w:numPr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economics needs to be spectacularly better than all the alternatives, an affordable purchase model rather than the more typical subscription/fee approach.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Until May ??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Elder Law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Preparing for Disabilities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is available for a one-time payment of $325 for a lifetime license for an entire firm, after which its price will be $465.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"https://www.theformtool.com/forms/"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https://www.theformtool.com/forms/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About TheFormTool, LLC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Founded in 2011, TheFormTool, LLC is a leading software innovator offering legal and business professionals, whose documents are a literal representation of their expertise and quality of service, simple-to-use software for efficiently creating one or more intelligent documents with ease and accuracy. The company offers TheFormTool PRO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™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document assembly; for more intense needs its multi-document automation software, Doxser</w:t>
      </w:r>
      <w:r>
        <w:rPr>
          <w:rFonts w:ascii="Times New Roman" w:hAnsi="Times New Roman" w:hint="default"/>
          <w:sz w:val="24"/>
          <w:szCs w:val="24"/>
          <w:rtl w:val="0"/>
        </w:rPr>
        <w:t>á®</w:t>
      </w:r>
      <w:r>
        <w:rPr>
          <w:rFonts w:ascii="Times New Roman" w:hAnsi="Times New Roman"/>
          <w:sz w:val="24"/>
          <w:szCs w:val="24"/>
          <w:rtl w:val="0"/>
          <w:lang w:val="en-US"/>
        </w:rPr>
        <w:t>; Snapnumbers for autonumbering within documents; and, will later this year introduce Doxser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DB, its database-enabled product.  Its software is in use in firms large and small in more than 200 industries and 40 countries.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Last month the company announced a strategic relationship with and investment by Stewart McKelvey, the leading Canadian law firm.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"http://www.theformtool.com"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www.theformtool.com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Contact: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TheFormTool, LLC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Bob Christensen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360.866.6600</w:t>
      </w:r>
    </w:p>
    <w:p>
      <w:pPr>
        <w:pStyle w:val="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info@theformtool.com</w:t>
      </w:r>
    </w:p>
    <w:sectPr>
      <w:headerReference w:type="default" r:id="rId4"/>
      <w:footerReference w:type="default" r:id="rId5"/>
      <w:pgSz w:w="12240" w:h="15840" w:orient="portrait"/>
      <w:pgMar w:top="1080" w:right="720" w:bottom="72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z w:val="24"/>
      <w:szCs w:val="24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